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02" w:rsidRDefault="001A4E02" w:rsidP="00A03ACD">
      <w:pPr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315A29" w:rsidRPr="00EA73CB" w:rsidRDefault="00315A29" w:rsidP="00A03ACD">
      <w:pPr>
        <w:jc w:val="both"/>
        <w:rPr>
          <w:rFonts w:cs="Arial"/>
          <w:b/>
          <w:sz w:val="20"/>
          <w:szCs w:val="20"/>
        </w:rPr>
      </w:pPr>
      <w:r w:rsidRPr="00EA73CB">
        <w:rPr>
          <w:rFonts w:cs="Arial"/>
          <w:b/>
          <w:sz w:val="20"/>
          <w:szCs w:val="20"/>
        </w:rPr>
        <w:t>DATOS DE CONTROL DEL DOCUMENTO</w:t>
      </w:r>
    </w:p>
    <w:p w:rsidR="00A03ACD" w:rsidRDefault="00A03ACD" w:rsidP="00A03ACD">
      <w:pPr>
        <w:jc w:val="both"/>
        <w:rPr>
          <w:rFonts w:cs="Arial"/>
          <w:b/>
          <w:sz w:val="20"/>
          <w:szCs w:val="20"/>
        </w:rPr>
      </w:pPr>
    </w:p>
    <w:p w:rsidR="00315A29" w:rsidRPr="001A4E02" w:rsidRDefault="00686B19" w:rsidP="00A03ACD">
      <w:pPr>
        <w:spacing w:line="276" w:lineRule="auto"/>
        <w:jc w:val="both"/>
        <w:rPr>
          <w:rFonts w:cs="Arial"/>
          <w:b/>
          <w:sz w:val="19"/>
          <w:szCs w:val="19"/>
        </w:rPr>
      </w:pPr>
      <w:r w:rsidRPr="001A4E02">
        <w:rPr>
          <w:rFonts w:cs="Arial"/>
          <w:b/>
          <w:sz w:val="19"/>
          <w:szCs w:val="19"/>
        </w:rPr>
        <w:t>Historia del d</w:t>
      </w:r>
      <w:r w:rsidR="00315A29" w:rsidRPr="001A4E02">
        <w:rPr>
          <w:rFonts w:cs="Arial"/>
          <w:b/>
          <w:sz w:val="19"/>
          <w:szCs w:val="19"/>
        </w:rPr>
        <w:t>ocumento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5812"/>
        <w:gridCol w:w="1417"/>
      </w:tblGrid>
      <w:tr w:rsidR="00315A29" w:rsidRPr="00EA73CB" w:rsidTr="00FD0825">
        <w:tc>
          <w:tcPr>
            <w:tcW w:w="1418" w:type="dxa"/>
            <w:shd w:val="clear" w:color="auto" w:fill="8DB3E2" w:themeFill="text2" w:themeFillTint="66"/>
          </w:tcPr>
          <w:p w:rsidR="00315A29" w:rsidRPr="001A4E02" w:rsidRDefault="00315A29" w:rsidP="00A03A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A4E02">
              <w:rPr>
                <w:rFonts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315A29" w:rsidRPr="001A4E02" w:rsidRDefault="00315A29" w:rsidP="00A03A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A4E02">
              <w:rPr>
                <w:rFonts w:cs="Arial"/>
                <w:b/>
                <w:sz w:val="18"/>
                <w:szCs w:val="18"/>
              </w:rPr>
              <w:t>Versión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315A29" w:rsidRPr="001A4E02" w:rsidRDefault="00315A29" w:rsidP="00A03A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A4E02">
              <w:rPr>
                <w:rFonts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315A29" w:rsidRPr="001A4E02" w:rsidRDefault="00315A29" w:rsidP="00A03A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A4E02">
              <w:rPr>
                <w:rFonts w:cs="Arial"/>
                <w:b/>
                <w:sz w:val="18"/>
                <w:szCs w:val="18"/>
              </w:rPr>
              <w:t>Autor</w:t>
            </w:r>
          </w:p>
        </w:tc>
      </w:tr>
      <w:tr w:rsidR="00315A29" w:rsidRPr="00EA73CB" w:rsidTr="00FD0825">
        <w:tc>
          <w:tcPr>
            <w:tcW w:w="1418" w:type="dxa"/>
          </w:tcPr>
          <w:p w:rsidR="00315A29" w:rsidRPr="001A4E02" w:rsidRDefault="002B3BC5" w:rsidP="00A03A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="00B1740D" w:rsidRPr="001A4E02">
              <w:rPr>
                <w:rFonts w:cs="Arial"/>
                <w:sz w:val="18"/>
                <w:szCs w:val="18"/>
              </w:rPr>
              <w:t>-jul-2010</w:t>
            </w:r>
          </w:p>
        </w:tc>
        <w:tc>
          <w:tcPr>
            <w:tcW w:w="1134" w:type="dxa"/>
          </w:tcPr>
          <w:p w:rsidR="00315A29" w:rsidRPr="001A4E02" w:rsidRDefault="00B1740D" w:rsidP="00A03ACD">
            <w:pPr>
              <w:rPr>
                <w:rFonts w:cs="Arial"/>
                <w:sz w:val="18"/>
                <w:szCs w:val="18"/>
              </w:rPr>
            </w:pPr>
            <w:r w:rsidRPr="001A4E02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5812" w:type="dxa"/>
          </w:tcPr>
          <w:p w:rsidR="00315A29" w:rsidRPr="001A4E02" w:rsidRDefault="00B1740D" w:rsidP="00770902">
            <w:pPr>
              <w:rPr>
                <w:rFonts w:cs="Arial"/>
                <w:sz w:val="18"/>
                <w:szCs w:val="18"/>
              </w:rPr>
            </w:pPr>
            <w:r w:rsidRPr="001A4E02">
              <w:rPr>
                <w:rFonts w:cs="Arial"/>
                <w:sz w:val="18"/>
                <w:szCs w:val="18"/>
              </w:rPr>
              <w:t xml:space="preserve">Creación del </w:t>
            </w:r>
            <w:r w:rsidR="002B3BC5">
              <w:rPr>
                <w:rFonts w:cs="Arial"/>
                <w:sz w:val="18"/>
                <w:szCs w:val="18"/>
              </w:rPr>
              <w:t xml:space="preserve">documento </w:t>
            </w:r>
            <w:r w:rsidR="00A044A4">
              <w:rPr>
                <w:rFonts w:cs="Arial"/>
                <w:sz w:val="18"/>
                <w:szCs w:val="18"/>
              </w:rPr>
              <w:t>Guía</w:t>
            </w:r>
            <w:r w:rsidR="00770902">
              <w:rPr>
                <w:rFonts w:cs="Arial"/>
                <w:sz w:val="18"/>
                <w:szCs w:val="18"/>
              </w:rPr>
              <w:t xml:space="preserve"> de adaptación del proceso (</w:t>
            </w:r>
            <w:proofErr w:type="spellStart"/>
            <w:r w:rsidR="00770902" w:rsidRPr="00770902">
              <w:rPr>
                <w:rFonts w:cs="Arial"/>
                <w:sz w:val="18"/>
                <w:szCs w:val="18"/>
                <w:lang w:val="es-CO"/>
              </w:rPr>
              <w:t>Tailoring</w:t>
            </w:r>
            <w:proofErr w:type="spellEnd"/>
            <w:r w:rsidR="00770902" w:rsidRPr="00770902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="00770902" w:rsidRPr="00770902">
              <w:rPr>
                <w:rFonts w:cs="Arial"/>
                <w:sz w:val="18"/>
                <w:szCs w:val="18"/>
                <w:lang w:val="es-CO"/>
              </w:rPr>
              <w:t>Guidelines</w:t>
            </w:r>
            <w:proofErr w:type="spellEnd"/>
            <w:r w:rsidR="0077090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15A29" w:rsidRPr="001A4E02" w:rsidRDefault="00B1740D" w:rsidP="00A03ACD">
            <w:pPr>
              <w:rPr>
                <w:rFonts w:cs="Arial"/>
                <w:sz w:val="18"/>
                <w:szCs w:val="18"/>
              </w:rPr>
            </w:pPr>
            <w:r w:rsidRPr="001A4E02">
              <w:rPr>
                <w:rFonts w:cs="Arial"/>
                <w:sz w:val="18"/>
                <w:szCs w:val="18"/>
              </w:rPr>
              <w:t>gtrejos</w:t>
            </w:r>
          </w:p>
          <w:p w:rsidR="00B1740D" w:rsidRPr="001A4E02" w:rsidRDefault="00B1740D" w:rsidP="00A03ACD">
            <w:pPr>
              <w:rPr>
                <w:rFonts w:cs="Arial"/>
                <w:sz w:val="18"/>
                <w:szCs w:val="18"/>
              </w:rPr>
            </w:pPr>
            <w:r w:rsidRPr="001A4E02">
              <w:rPr>
                <w:rFonts w:cs="Arial"/>
                <w:sz w:val="18"/>
                <w:szCs w:val="18"/>
              </w:rPr>
              <w:t>rcastro</w:t>
            </w:r>
          </w:p>
        </w:tc>
      </w:tr>
      <w:tr w:rsidR="0035317E" w:rsidRPr="00EA73CB" w:rsidTr="00FD0825">
        <w:tc>
          <w:tcPr>
            <w:tcW w:w="1418" w:type="dxa"/>
          </w:tcPr>
          <w:p w:rsidR="0035317E" w:rsidRDefault="0035317E" w:rsidP="00A03A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12-Oct-2010</w:t>
            </w:r>
          </w:p>
        </w:tc>
        <w:tc>
          <w:tcPr>
            <w:tcW w:w="1134" w:type="dxa"/>
          </w:tcPr>
          <w:p w:rsidR="0035317E" w:rsidRPr="001A4E02" w:rsidRDefault="0035317E" w:rsidP="00A03A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5812" w:type="dxa"/>
          </w:tcPr>
          <w:p w:rsidR="0035317E" w:rsidRPr="001A4E02" w:rsidRDefault="0035317E" w:rsidP="007709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Modificación de documentos requeridos según el tamaño del proyecto</w:t>
            </w:r>
          </w:p>
        </w:tc>
        <w:tc>
          <w:tcPr>
            <w:tcW w:w="1417" w:type="dxa"/>
          </w:tcPr>
          <w:p w:rsidR="0035317E" w:rsidRPr="001A4E02" w:rsidRDefault="001D549F" w:rsidP="00A03A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35317E">
              <w:rPr>
                <w:rFonts w:cs="Arial"/>
                <w:sz w:val="18"/>
                <w:szCs w:val="18"/>
              </w:rPr>
              <w:t>trejos</w:t>
            </w:r>
          </w:p>
        </w:tc>
      </w:tr>
      <w:tr w:rsidR="001D549F" w:rsidRPr="00EA73CB" w:rsidTr="00FD0825">
        <w:tc>
          <w:tcPr>
            <w:tcW w:w="1418" w:type="dxa"/>
          </w:tcPr>
          <w:p w:rsidR="001D549F" w:rsidRDefault="001D549F" w:rsidP="00A03A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01-Dic-2010</w:t>
            </w:r>
          </w:p>
        </w:tc>
        <w:tc>
          <w:tcPr>
            <w:tcW w:w="1134" w:type="dxa"/>
          </w:tcPr>
          <w:p w:rsidR="001D549F" w:rsidRDefault="001D549F" w:rsidP="00A03A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</w:t>
            </w:r>
          </w:p>
        </w:tc>
        <w:tc>
          <w:tcPr>
            <w:tcW w:w="5812" w:type="dxa"/>
          </w:tcPr>
          <w:p w:rsidR="001D549F" w:rsidRDefault="001D549F" w:rsidP="001D549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Adaptación del documento a las modificaciones del proceso, basado en las áreas de proceso PP y PMC</w:t>
            </w:r>
          </w:p>
        </w:tc>
        <w:tc>
          <w:tcPr>
            <w:tcW w:w="1417" w:type="dxa"/>
          </w:tcPr>
          <w:p w:rsidR="001D549F" w:rsidRDefault="001D549F" w:rsidP="00A03A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gtrejos</w:t>
            </w:r>
          </w:p>
        </w:tc>
      </w:tr>
    </w:tbl>
    <w:p w:rsidR="001A4E02" w:rsidRDefault="001A4E02" w:rsidP="00A03ACD">
      <w:pPr>
        <w:jc w:val="both"/>
        <w:rPr>
          <w:b/>
          <w:sz w:val="20"/>
          <w:szCs w:val="20"/>
        </w:rPr>
      </w:pPr>
      <w:bookmarkStart w:id="1" w:name="_Toc98729077"/>
    </w:p>
    <w:p w:rsidR="00FE3A0F" w:rsidRDefault="00FE3A0F" w:rsidP="00315BF7">
      <w:pPr>
        <w:jc w:val="both"/>
        <w:rPr>
          <w:b/>
          <w:sz w:val="20"/>
          <w:szCs w:val="20"/>
        </w:rPr>
      </w:pPr>
    </w:p>
    <w:p w:rsidR="0035317E" w:rsidRPr="00AA3B18" w:rsidRDefault="00755000" w:rsidP="00315BF7">
      <w:pPr>
        <w:jc w:val="both"/>
        <w:rPr>
          <w:sz w:val="20"/>
          <w:szCs w:val="20"/>
        </w:rPr>
      </w:pPr>
      <w:r w:rsidRPr="00755000">
        <w:rPr>
          <w:b/>
          <w:sz w:val="20"/>
          <w:szCs w:val="20"/>
        </w:rPr>
        <w:t>Guía de adaptación</w:t>
      </w:r>
      <w:r w:rsidR="00FE3A0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A3B18">
        <w:rPr>
          <w:sz w:val="20"/>
          <w:szCs w:val="20"/>
        </w:rPr>
        <w:t>La</w:t>
      </w:r>
      <w:r w:rsidR="00770902" w:rsidRPr="00AA3B18">
        <w:rPr>
          <w:b/>
          <w:sz w:val="20"/>
          <w:szCs w:val="20"/>
        </w:rPr>
        <w:t xml:space="preserve"> </w:t>
      </w:r>
      <w:r w:rsidR="00770902" w:rsidRPr="00AA3B18">
        <w:rPr>
          <w:rFonts w:cs="Arial"/>
          <w:sz w:val="20"/>
          <w:szCs w:val="20"/>
          <w:lang w:val="es-CO"/>
        </w:rPr>
        <w:t>guía de adaptación del proceso</w:t>
      </w:r>
      <w:r w:rsidR="00AA3B18" w:rsidRPr="00AA3B18">
        <w:rPr>
          <w:rStyle w:val="Refdenotaalpie"/>
          <w:rFonts w:cs="Arial"/>
          <w:sz w:val="20"/>
          <w:szCs w:val="20"/>
          <w:lang w:val="es-CO"/>
        </w:rPr>
        <w:footnoteReference w:id="1"/>
      </w:r>
      <w:r w:rsidR="00423B16" w:rsidRPr="00AA3B18">
        <w:rPr>
          <w:rFonts w:cs="Arial"/>
          <w:sz w:val="20"/>
          <w:szCs w:val="20"/>
          <w:lang w:val="es-CO"/>
        </w:rPr>
        <w:t>,</w:t>
      </w:r>
      <w:r w:rsidR="00792668" w:rsidRPr="00AA3B18">
        <w:rPr>
          <w:sz w:val="20"/>
          <w:szCs w:val="20"/>
        </w:rPr>
        <w:t xml:space="preserve"> es un documento que </w:t>
      </w:r>
      <w:r w:rsidR="00AA3B18">
        <w:rPr>
          <w:sz w:val="20"/>
          <w:szCs w:val="20"/>
        </w:rPr>
        <w:t xml:space="preserve">define los pasos a seguir del proceso de gerencia de proyectos y la </w:t>
      </w:r>
      <w:r w:rsidR="00423B16" w:rsidRPr="00AA3B18">
        <w:rPr>
          <w:sz w:val="20"/>
          <w:szCs w:val="20"/>
        </w:rPr>
        <w:t>documentación</w:t>
      </w:r>
      <w:r w:rsidR="00792668" w:rsidRPr="00AA3B18">
        <w:rPr>
          <w:sz w:val="20"/>
          <w:szCs w:val="20"/>
        </w:rPr>
        <w:t xml:space="preserve"> </w:t>
      </w:r>
      <w:r w:rsidR="0035317E" w:rsidRPr="00AA3B18">
        <w:rPr>
          <w:sz w:val="20"/>
          <w:szCs w:val="20"/>
        </w:rPr>
        <w:t xml:space="preserve">para </w:t>
      </w:r>
      <w:r w:rsidR="00AA3B18">
        <w:rPr>
          <w:sz w:val="20"/>
          <w:szCs w:val="20"/>
        </w:rPr>
        <w:t xml:space="preserve">su </w:t>
      </w:r>
      <w:r w:rsidR="00792668" w:rsidRPr="00AA3B18">
        <w:rPr>
          <w:sz w:val="20"/>
          <w:szCs w:val="20"/>
        </w:rPr>
        <w:t>desarrollo</w:t>
      </w:r>
      <w:r w:rsidR="00AA3B18">
        <w:rPr>
          <w:sz w:val="20"/>
          <w:szCs w:val="20"/>
        </w:rPr>
        <w:t>, según el tipo de proyecto (tiempo o impacto)</w:t>
      </w:r>
      <w:r w:rsidRPr="00AA3B18">
        <w:rPr>
          <w:sz w:val="20"/>
          <w:szCs w:val="20"/>
        </w:rPr>
        <w:t xml:space="preserve">. </w:t>
      </w:r>
    </w:p>
    <w:p w:rsidR="0035317E" w:rsidRPr="00AA3B18" w:rsidRDefault="0035317E" w:rsidP="00315BF7">
      <w:pPr>
        <w:jc w:val="both"/>
        <w:rPr>
          <w:sz w:val="20"/>
          <w:szCs w:val="20"/>
        </w:rPr>
      </w:pPr>
    </w:p>
    <w:p w:rsidR="00A03ACD" w:rsidRPr="00FD0825" w:rsidRDefault="0035317E" w:rsidP="00A03ACD">
      <w:pPr>
        <w:jc w:val="both"/>
        <w:rPr>
          <w:sz w:val="20"/>
          <w:szCs w:val="20"/>
        </w:rPr>
      </w:pPr>
      <w:r w:rsidRPr="00AA3B18">
        <w:rPr>
          <w:sz w:val="20"/>
          <w:szCs w:val="20"/>
        </w:rPr>
        <w:t>Para los proyectos de las oficinas de la Dirección de Servicios y Recursos de Información, e</w:t>
      </w:r>
      <w:r w:rsidR="00423B16" w:rsidRPr="00AA3B18">
        <w:rPr>
          <w:sz w:val="20"/>
          <w:szCs w:val="20"/>
        </w:rPr>
        <w:t xml:space="preserve">l </w:t>
      </w:r>
      <w:r w:rsidR="00AA3B18">
        <w:rPr>
          <w:sz w:val="20"/>
          <w:szCs w:val="20"/>
        </w:rPr>
        <w:t xml:space="preserve">tipo </w:t>
      </w:r>
      <w:r w:rsidR="00423B16" w:rsidRPr="00AA3B18">
        <w:rPr>
          <w:sz w:val="20"/>
          <w:szCs w:val="20"/>
        </w:rPr>
        <w:t xml:space="preserve">del proyecto </w:t>
      </w:r>
      <w:r w:rsidR="00755000" w:rsidRPr="00AA3B18">
        <w:rPr>
          <w:sz w:val="20"/>
          <w:szCs w:val="20"/>
        </w:rPr>
        <w:t xml:space="preserve">se define según </w:t>
      </w:r>
      <w:r w:rsidR="00423B16" w:rsidRPr="00AA3B18">
        <w:rPr>
          <w:sz w:val="20"/>
          <w:szCs w:val="20"/>
        </w:rPr>
        <w:t xml:space="preserve">la cantidad de tiempo que se </w:t>
      </w:r>
      <w:r w:rsidR="00755000" w:rsidRPr="00AA3B18">
        <w:rPr>
          <w:sz w:val="20"/>
          <w:szCs w:val="20"/>
        </w:rPr>
        <w:t>requiere</w:t>
      </w:r>
      <w:r w:rsidR="00423B16" w:rsidRPr="00AA3B18">
        <w:rPr>
          <w:sz w:val="20"/>
          <w:szCs w:val="20"/>
        </w:rPr>
        <w:t xml:space="preserve"> para su planeación y realización</w:t>
      </w:r>
      <w:r w:rsidR="00AA3B18">
        <w:rPr>
          <w:sz w:val="20"/>
          <w:szCs w:val="20"/>
        </w:rPr>
        <w:t xml:space="preserve"> o el impacto sobre la comunidad</w:t>
      </w:r>
      <w:r w:rsidR="00994E3B" w:rsidRPr="00AA3B18">
        <w:rPr>
          <w:sz w:val="20"/>
          <w:szCs w:val="20"/>
        </w:rPr>
        <w:t>.</w:t>
      </w:r>
      <w:bookmarkEnd w:id="1"/>
    </w:p>
    <w:p w:rsidR="00A03ACD" w:rsidRPr="009A556C" w:rsidRDefault="00A03ACD" w:rsidP="00A03ACD">
      <w:pPr>
        <w:rPr>
          <w:b/>
          <w:sz w:val="20"/>
          <w:szCs w:val="20"/>
        </w:rPr>
      </w:pPr>
    </w:p>
    <w:p w:rsidR="00C257C2" w:rsidRPr="00742E8F" w:rsidRDefault="00A044A4" w:rsidP="00742E8F">
      <w:pPr>
        <w:pStyle w:val="Prrafodelista"/>
        <w:numPr>
          <w:ilvl w:val="0"/>
          <w:numId w:val="12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Guía de adaptación</w:t>
      </w:r>
    </w:p>
    <w:tbl>
      <w:tblPr>
        <w:tblStyle w:val="Tablaconcuadrcula"/>
        <w:tblW w:w="9804" w:type="dxa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1307"/>
        <w:gridCol w:w="1160"/>
        <w:gridCol w:w="1100"/>
      </w:tblGrid>
      <w:tr w:rsidR="008F71CA" w:rsidRPr="00EA73CB" w:rsidTr="00FD0825"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F71CA" w:rsidRPr="008F71CA" w:rsidRDefault="008F71CA" w:rsidP="00A03A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71CA">
              <w:rPr>
                <w:rFonts w:cs="Arial"/>
                <w:b/>
                <w:sz w:val="20"/>
                <w:szCs w:val="20"/>
              </w:rPr>
              <w:t>Documento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F71CA" w:rsidRPr="008F71CA" w:rsidRDefault="008F71CA" w:rsidP="00A03A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71CA">
              <w:rPr>
                <w:rFonts w:cs="Arial"/>
                <w:b/>
                <w:sz w:val="20"/>
                <w:szCs w:val="20"/>
              </w:rPr>
              <w:t>Tipo de proyecto</w:t>
            </w:r>
          </w:p>
        </w:tc>
      </w:tr>
      <w:tr w:rsidR="008F71CA" w:rsidRPr="00EA73CB" w:rsidTr="00FD0825">
        <w:tc>
          <w:tcPr>
            <w:tcW w:w="70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F71CA" w:rsidRPr="008F71CA" w:rsidRDefault="002624B1" w:rsidP="00A03A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F71CA" w:rsidRPr="008F71CA" w:rsidRDefault="008F71CA" w:rsidP="00A03A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71CA">
              <w:rPr>
                <w:rFonts w:cs="Arial"/>
                <w:b/>
                <w:sz w:val="20"/>
                <w:szCs w:val="20"/>
              </w:rPr>
              <w:t>Nombre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F71CA" w:rsidRPr="008F71CA" w:rsidRDefault="008F71CA" w:rsidP="00A03A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71CA">
              <w:rPr>
                <w:rFonts w:cs="Arial"/>
                <w:b/>
                <w:sz w:val="20"/>
                <w:szCs w:val="20"/>
              </w:rPr>
              <w:t>Pequeño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F71CA" w:rsidRPr="008F71CA" w:rsidRDefault="008F71CA" w:rsidP="00A03A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71CA">
              <w:rPr>
                <w:rFonts w:cs="Arial"/>
                <w:b/>
                <w:sz w:val="20"/>
                <w:szCs w:val="20"/>
              </w:rPr>
              <w:t>Mediano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F71CA" w:rsidRPr="008F71CA" w:rsidRDefault="008F71CA" w:rsidP="00A03A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71CA">
              <w:rPr>
                <w:rFonts w:cs="Arial"/>
                <w:b/>
                <w:sz w:val="20"/>
                <w:szCs w:val="20"/>
              </w:rPr>
              <w:t>Grande</w:t>
            </w:r>
          </w:p>
        </w:tc>
      </w:tr>
      <w:tr w:rsidR="00FD0825" w:rsidRPr="00EA73CB" w:rsidTr="00684AB9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25" w:rsidRPr="005A7FBD" w:rsidRDefault="00FD0825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5A7FBD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25" w:rsidRPr="003F48D4" w:rsidRDefault="00CC30A6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Iniciación del proyecto</w:t>
            </w:r>
          </w:p>
        </w:tc>
      </w:tr>
      <w:tr w:rsidR="00FD0825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Acta de iniciación del proyecto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(REQ00)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FD0825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FD0825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FD0825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671FA0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0" w:rsidRDefault="00671FA0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0" w:rsidRDefault="00671FA0" w:rsidP="00671FA0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Determinar el tipo de proyecto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0" w:rsidRPr="003F48D4" w:rsidRDefault="00671FA0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0" w:rsidRPr="003F48D4" w:rsidRDefault="00671FA0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0" w:rsidRPr="003F48D4" w:rsidRDefault="00671FA0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FD0825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1.</w:t>
            </w:r>
            <w:r w:rsidR="00671FA0">
              <w:rPr>
                <w:rFonts w:cs="Helvetica"/>
                <w:color w:val="1F2029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Cronograma de planeación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(CRO00)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994C18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FD0825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FD0825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FD0825" w:rsidRPr="00EA73CB" w:rsidTr="00684AB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25" w:rsidRPr="00113C97" w:rsidRDefault="00FD0825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113C97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25" w:rsidRPr="003F48D4" w:rsidRDefault="00FD0825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113C97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Evaluación del alcance del proyecto</w:t>
            </w:r>
          </w:p>
        </w:tc>
      </w:tr>
      <w:tr w:rsidR="00FD0825" w:rsidRPr="00EA73CB" w:rsidTr="00994C1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671FA0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2.</w:t>
            </w:r>
            <w:r w:rsidR="00671FA0">
              <w:rPr>
                <w:rFonts w:cs="Helvetica"/>
                <w:color w:val="1F2029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6E0671" w:rsidP="00874B95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Enunciación del alcance del proyecto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(GPS01)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6B7964" w:rsidP="00684AB9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 </w:t>
            </w: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6B7964" w:rsidP="00684AB9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 </w:t>
            </w: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FD0825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FD0825" w:rsidRPr="00EA73CB" w:rsidTr="00994C1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2.</w:t>
            </w:r>
            <w:r w:rsidR="00671FA0">
              <w:rPr>
                <w:rFonts w:cs="Helvetica"/>
                <w:color w:val="1F2029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6E0671" w:rsidP="00994C18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Estructura de desglosé de trabajo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(EDT</w:t>
            </w:r>
            <w:r w:rsidR="00537A62">
              <w:rPr>
                <w:rFonts w:cs="Helvetica"/>
                <w:color w:val="1F2029"/>
                <w:sz w:val="18"/>
                <w:szCs w:val="18"/>
                <w:lang w:eastAsia="es-ES"/>
              </w:rPr>
              <w:t>01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6E0671" w:rsidP="00684AB9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6E0671" w:rsidP="00684AB9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994C18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F337FF" w:rsidRPr="00113C97" w:rsidTr="00684AB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FF" w:rsidRPr="00113C97" w:rsidRDefault="00F337FF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113C97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FF" w:rsidRPr="00113C97" w:rsidRDefault="00F337FF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113C97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Gestión del personal</w:t>
            </w:r>
          </w:p>
        </w:tc>
      </w:tr>
      <w:tr w:rsidR="00FD0825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5A7FBD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Default="00FD0825" w:rsidP="00874B95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Requerimientos de personal</w:t>
            </w:r>
            <w:r w:rsidR="00671FA0">
              <w:rPr>
                <w:rFonts w:cs="Helvetica"/>
                <w:color w:val="1F2029"/>
                <w:sz w:val="18"/>
                <w:szCs w:val="18"/>
                <w:lang w:eastAsia="es-ES"/>
              </w:rPr>
              <w:t>; interno o externo (GPS02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22409" w:rsidRDefault="00994C18" w:rsidP="00684AB9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22409" w:rsidRDefault="00994C18" w:rsidP="00684AB9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25" w:rsidRPr="003F48D4" w:rsidRDefault="00AE540D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5A7FBD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Costos de personal externo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(GPS04)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22409" w:rsidRDefault="00424887" w:rsidP="00874B95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22409" w:rsidRDefault="00424887" w:rsidP="00874B95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874B95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684AB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2624B1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2624B1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2624B1" w:rsidRDefault="00424887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2624B1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Evaluación de los riesgos del proyecto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994C18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Identificación de riesgos (listado de riesgos frecuentes)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22409" w:rsidRDefault="00424887" w:rsidP="00684AB9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22409" w:rsidRDefault="00424887" w:rsidP="00684AB9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Manejo de riesgos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(GPS03</w:t>
            </w:r>
            <w:r w:rsidR="006B7964">
              <w:rPr>
                <w:rFonts w:cs="Helvetica"/>
                <w:color w:val="1F2029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22409" w:rsidRDefault="00424887" w:rsidP="00684AB9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22409" w:rsidRDefault="00424887" w:rsidP="00684AB9">
            <w:pPr>
              <w:jc w:val="center"/>
              <w:rPr>
                <w:rFonts w:cs="Helvetica"/>
                <w:b/>
                <w:bCs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684AB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2624B1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2624B1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2624B1" w:rsidRDefault="00424887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2624B1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Realización del cronograma de ejecución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Realización del plan del plan de ejecución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(CRO01)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Costos del proyecto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(GPS04)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671FA0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684AB9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2624B1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2624B1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3F48D4" w:rsidRDefault="00424887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2624B1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Realización del plan de comunicaciones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Realizar el plan de comunicaciones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(GPS05)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BC2D7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E02E00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3F48D4" w:rsidRDefault="00424887" w:rsidP="00BC2D7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Consolidación del plan del proyecto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lastRenderedPageBreak/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C1210A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Consolidar el plan del proyecto</w:t>
            </w:r>
            <w:r w:rsidR="00874B95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</w:t>
            </w:r>
            <w:r w:rsidR="00C1210A">
              <w:rPr>
                <w:rFonts w:cs="Helvetica"/>
                <w:color w:val="1F2029"/>
                <w:sz w:val="18"/>
                <w:szCs w:val="18"/>
                <w:lang w:eastAsia="es-ES"/>
              </w:rPr>
              <w:t>Carpeta de documentos del proyecto)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684AB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E02E00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3F48D4" w:rsidRDefault="00424887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Revisión del plan del proyecto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Negociación y acuerdos del proyecto</w:t>
            </w:r>
            <w:r w:rsidR="00C1210A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(Revisión de todos los documentos)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684AB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E02E00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3F48D4" w:rsidRDefault="00424887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Ejecución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9.1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Planes involucrados</w:t>
            </w:r>
            <w:r w:rsidR="00C1210A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(ACT01 – INF01)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D57B93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3F48D4"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  <w:t>N/A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Fase de construcción</w:t>
            </w:r>
            <w:r w:rsidR="00C1210A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(Documentación técnica)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D57B93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9.3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Refinamiento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D57B93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9.4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Monitoreo y control</w:t>
            </w:r>
            <w:r w:rsidR="00C1210A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 (ACT01 – INF01)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D57B93">
            <w:pPr>
              <w:jc w:val="center"/>
              <w:rPr>
                <w:rFonts w:cs="Helvetica"/>
                <w:color w:val="808080" w:themeColor="background1" w:themeShade="80"/>
                <w:sz w:val="16"/>
                <w:szCs w:val="18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684AB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E02E00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3F48D4" w:rsidRDefault="00424887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Evaluación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Evaluación y control</w:t>
            </w:r>
            <w:r w:rsidR="00C1210A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(ACT01 – INF01)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  <w:tr w:rsidR="00424887" w:rsidRPr="00EA73CB" w:rsidTr="00684AB9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E02E00" w:rsidRDefault="00424887" w:rsidP="00684AB9">
            <w:pPr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87" w:rsidRPr="003F48D4" w:rsidRDefault="00424887" w:rsidP="00684AB9">
            <w:pP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 w:rsidRPr="00E02E00">
              <w:rPr>
                <w:rFonts w:cs="Helvetica"/>
                <w:b/>
                <w:color w:val="1F2029"/>
                <w:sz w:val="18"/>
                <w:szCs w:val="18"/>
                <w:lang w:eastAsia="es-ES"/>
              </w:rPr>
              <w:t>Cierre del proyecto</w:t>
            </w:r>
          </w:p>
        </w:tc>
      </w:tr>
      <w:tr w:rsidR="00424887" w:rsidRPr="00EA73CB" w:rsidTr="00857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Default="00424887" w:rsidP="00684AB9">
            <w:pPr>
              <w:rPr>
                <w:rFonts w:cs="Helvetica"/>
                <w:color w:val="1F2029"/>
                <w:sz w:val="18"/>
                <w:szCs w:val="18"/>
                <w:lang w:eastAsia="es-ES"/>
              </w:rPr>
            </w:pPr>
            <w:r>
              <w:rPr>
                <w:rFonts w:cs="Helvetica"/>
                <w:color w:val="1F2029"/>
                <w:sz w:val="18"/>
                <w:szCs w:val="18"/>
                <w:lang w:eastAsia="es-ES"/>
              </w:rPr>
              <w:t>Cierre del proyecto</w:t>
            </w:r>
            <w:r w:rsidR="00C1210A">
              <w:rPr>
                <w:rFonts w:cs="Helvetica"/>
                <w:color w:val="1F2029"/>
                <w:sz w:val="18"/>
                <w:szCs w:val="18"/>
                <w:lang w:eastAsia="es-ES"/>
              </w:rPr>
              <w:t xml:space="preserve"> (GPS06 – GPS07)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7" w:rsidRPr="003F48D4" w:rsidRDefault="00424887" w:rsidP="00684AB9">
            <w:pPr>
              <w:jc w:val="center"/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</w:pPr>
            <w:r>
              <w:rPr>
                <w:rFonts w:cs="Helvetica"/>
                <w:b/>
                <w:bCs/>
                <w:color w:val="1F2029"/>
                <w:sz w:val="19"/>
                <w:szCs w:val="19"/>
                <w:lang w:eastAsia="es-ES"/>
              </w:rPr>
              <w:t>X</w:t>
            </w:r>
          </w:p>
        </w:tc>
      </w:tr>
    </w:tbl>
    <w:p w:rsidR="00FB5313" w:rsidRDefault="00FB5313" w:rsidP="00A03ACD">
      <w:pPr>
        <w:rPr>
          <w:b/>
          <w:sz w:val="20"/>
          <w:szCs w:val="20"/>
        </w:rPr>
      </w:pPr>
    </w:p>
    <w:p w:rsidR="009A556C" w:rsidRPr="009A556C" w:rsidRDefault="00FB5313" w:rsidP="00FB53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Durante cada actividad del </w:t>
      </w:r>
      <w:r w:rsidR="00671FA0">
        <w:rPr>
          <w:b/>
          <w:sz w:val="20"/>
          <w:szCs w:val="20"/>
        </w:rPr>
        <w:t>proceso, se debe llenar el GPS08</w:t>
      </w:r>
      <w:r>
        <w:rPr>
          <w:b/>
          <w:sz w:val="20"/>
          <w:szCs w:val="20"/>
        </w:rPr>
        <w:t xml:space="preserve"> para cada lección aprendida durante su realización</w:t>
      </w:r>
    </w:p>
    <w:p w:rsidR="007635D1" w:rsidRDefault="007635D1" w:rsidP="00053990">
      <w:pPr>
        <w:spacing w:line="276" w:lineRule="auto"/>
        <w:jc w:val="both"/>
        <w:rPr>
          <w:b/>
          <w:sz w:val="20"/>
          <w:szCs w:val="20"/>
        </w:rPr>
      </w:pPr>
    </w:p>
    <w:p w:rsidR="00FB5313" w:rsidRDefault="00FB5313" w:rsidP="00053990">
      <w:pPr>
        <w:spacing w:line="276" w:lineRule="auto"/>
        <w:jc w:val="both"/>
        <w:rPr>
          <w:b/>
          <w:sz w:val="20"/>
          <w:szCs w:val="20"/>
        </w:rPr>
      </w:pPr>
    </w:p>
    <w:p w:rsidR="002F4D57" w:rsidRDefault="00D20572" w:rsidP="00770902">
      <w:pPr>
        <w:pStyle w:val="Prrafodelista"/>
        <w:numPr>
          <w:ilvl w:val="0"/>
          <w:numId w:val="12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Definición de tipo de proyecto</w:t>
      </w:r>
    </w:p>
    <w:p w:rsidR="00671FA0" w:rsidRPr="00EF05E9" w:rsidRDefault="00671FA0" w:rsidP="00FB5313">
      <w:pPr>
        <w:jc w:val="both"/>
        <w:rPr>
          <w:b/>
          <w:sz w:val="20"/>
          <w:szCs w:val="20"/>
        </w:rPr>
      </w:pPr>
      <w:r w:rsidRPr="00EF05E9">
        <w:rPr>
          <w:b/>
          <w:sz w:val="20"/>
          <w:szCs w:val="20"/>
        </w:rPr>
        <w:t>Matriz de selección de tipo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4001"/>
      </w:tblGrid>
      <w:tr w:rsidR="00671FA0" w:rsidTr="00EF05E9">
        <w:tc>
          <w:tcPr>
            <w:tcW w:w="2376" w:type="dxa"/>
            <w:shd w:val="clear" w:color="auto" w:fill="8DB3E2" w:themeFill="text2" w:themeFillTint="66"/>
          </w:tcPr>
          <w:p w:rsidR="00671FA0" w:rsidRPr="00EF05E9" w:rsidRDefault="00EF05E9" w:rsidP="00EF05E9">
            <w:pPr>
              <w:jc w:val="center"/>
              <w:rPr>
                <w:b/>
                <w:sz w:val="20"/>
                <w:szCs w:val="20"/>
              </w:rPr>
            </w:pPr>
            <w:r w:rsidRPr="00EF05E9">
              <w:rPr>
                <w:b/>
                <w:sz w:val="20"/>
                <w:szCs w:val="20"/>
              </w:rPr>
              <w:t>Tipo de proyecto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671FA0" w:rsidRPr="00EF05E9" w:rsidRDefault="00EF05E9" w:rsidP="00EF05E9">
            <w:pPr>
              <w:jc w:val="center"/>
              <w:rPr>
                <w:b/>
                <w:sz w:val="20"/>
                <w:szCs w:val="20"/>
              </w:rPr>
            </w:pPr>
            <w:r w:rsidRPr="00EF05E9">
              <w:rPr>
                <w:b/>
                <w:sz w:val="20"/>
                <w:szCs w:val="20"/>
              </w:rPr>
              <w:t>Por tiempo</w:t>
            </w:r>
          </w:p>
        </w:tc>
        <w:tc>
          <w:tcPr>
            <w:tcW w:w="4001" w:type="dxa"/>
            <w:shd w:val="clear" w:color="auto" w:fill="8DB3E2" w:themeFill="text2" w:themeFillTint="66"/>
          </w:tcPr>
          <w:p w:rsidR="00671FA0" w:rsidRPr="00EF05E9" w:rsidRDefault="00EF05E9" w:rsidP="00EF05E9">
            <w:pPr>
              <w:jc w:val="center"/>
              <w:rPr>
                <w:b/>
                <w:sz w:val="20"/>
                <w:szCs w:val="20"/>
              </w:rPr>
            </w:pPr>
            <w:r w:rsidRPr="00EF05E9">
              <w:rPr>
                <w:b/>
                <w:sz w:val="20"/>
                <w:szCs w:val="20"/>
              </w:rPr>
              <w:t>Por</w:t>
            </w:r>
            <w:r>
              <w:rPr>
                <w:b/>
                <w:sz w:val="20"/>
                <w:szCs w:val="20"/>
              </w:rPr>
              <w:t xml:space="preserve"> interrelaciones</w:t>
            </w:r>
          </w:p>
        </w:tc>
      </w:tr>
      <w:tr w:rsidR="00671FA0" w:rsidTr="00EF05E9">
        <w:tc>
          <w:tcPr>
            <w:tcW w:w="2376" w:type="dxa"/>
          </w:tcPr>
          <w:p w:rsidR="00EF05E9" w:rsidRDefault="00EF05E9" w:rsidP="00FB5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grande</w:t>
            </w:r>
          </w:p>
        </w:tc>
        <w:tc>
          <w:tcPr>
            <w:tcW w:w="3402" w:type="dxa"/>
          </w:tcPr>
          <w:p w:rsidR="00671FA0" w:rsidRDefault="00EF05E9" w:rsidP="00FB5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Tiempo mayor a 960 horas (mayor a 6 meses)</w:t>
            </w:r>
          </w:p>
        </w:tc>
        <w:tc>
          <w:tcPr>
            <w:tcW w:w="4001" w:type="dxa"/>
          </w:tcPr>
          <w:p w:rsidR="00EF05E9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 de 2 oficinas SYRI</w:t>
            </w:r>
          </w:p>
          <w:p w:rsidR="00EF05E9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con otras áreas</w:t>
            </w:r>
          </w:p>
          <w:p w:rsidR="00671FA0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Requiere proveedor </w:t>
            </w:r>
          </w:p>
          <w:p w:rsidR="00EF05E9" w:rsidRPr="00EF05E9" w:rsidRDefault="00EF05E9" w:rsidP="00A564EB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Líder funcional </w:t>
            </w:r>
            <w:r w:rsidR="00A564E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omité de rectoría</w:t>
            </w:r>
            <w:r w:rsidR="00A564EB">
              <w:rPr>
                <w:sz w:val="20"/>
                <w:szCs w:val="20"/>
              </w:rPr>
              <w:t xml:space="preserve"> o Director de área</w:t>
            </w:r>
          </w:p>
        </w:tc>
      </w:tr>
      <w:tr w:rsidR="00671FA0" w:rsidTr="00EF05E9">
        <w:tc>
          <w:tcPr>
            <w:tcW w:w="2376" w:type="dxa"/>
          </w:tcPr>
          <w:p w:rsidR="00671FA0" w:rsidRDefault="00EF05E9" w:rsidP="00FB5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mediano</w:t>
            </w:r>
          </w:p>
        </w:tc>
        <w:tc>
          <w:tcPr>
            <w:tcW w:w="3402" w:type="dxa"/>
          </w:tcPr>
          <w:p w:rsidR="00671FA0" w:rsidRDefault="00EF05E9" w:rsidP="00EF0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Tiempo entre 320 y 960 horas (mayor a 2 meses, menor a 6 meses)</w:t>
            </w:r>
          </w:p>
        </w:tc>
        <w:tc>
          <w:tcPr>
            <w:tcW w:w="4001" w:type="dxa"/>
          </w:tcPr>
          <w:p w:rsidR="00671FA0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2 oficinas SYRI</w:t>
            </w:r>
          </w:p>
          <w:p w:rsidR="00EF05E9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con otras áreas</w:t>
            </w:r>
          </w:p>
          <w:p w:rsidR="00EF05E9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requiere proveedor</w:t>
            </w:r>
          </w:p>
          <w:p w:rsidR="00EF05E9" w:rsidRPr="00EF05E9" w:rsidRDefault="00EF05E9" w:rsidP="00A564EB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Líder funcional </w:t>
            </w:r>
            <w:r w:rsidR="00A564EB">
              <w:rPr>
                <w:sz w:val="20"/>
                <w:szCs w:val="20"/>
              </w:rPr>
              <w:t>Comité de rectoría o D</w:t>
            </w:r>
            <w:r>
              <w:rPr>
                <w:sz w:val="20"/>
                <w:szCs w:val="20"/>
              </w:rPr>
              <w:t>irector de área</w:t>
            </w:r>
          </w:p>
        </w:tc>
      </w:tr>
      <w:tr w:rsidR="00671FA0" w:rsidTr="00EF05E9">
        <w:tc>
          <w:tcPr>
            <w:tcW w:w="2376" w:type="dxa"/>
          </w:tcPr>
          <w:p w:rsidR="00671FA0" w:rsidRDefault="00EF05E9" w:rsidP="00FB5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pequeño</w:t>
            </w:r>
          </w:p>
        </w:tc>
        <w:tc>
          <w:tcPr>
            <w:tcW w:w="3402" w:type="dxa"/>
          </w:tcPr>
          <w:p w:rsidR="00671FA0" w:rsidRDefault="00EF05E9" w:rsidP="00EF0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Tiempo menor a 320 horas</w:t>
            </w:r>
          </w:p>
          <w:p w:rsidR="00EF05E9" w:rsidRDefault="00EF05E9" w:rsidP="00EF0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(menor a 2 meses)</w:t>
            </w:r>
          </w:p>
        </w:tc>
        <w:tc>
          <w:tcPr>
            <w:tcW w:w="4001" w:type="dxa"/>
          </w:tcPr>
          <w:p w:rsidR="00EF05E9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oficinas SYRI</w:t>
            </w:r>
          </w:p>
          <w:p w:rsidR="00EF05E9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con oficinas SYRI</w:t>
            </w:r>
          </w:p>
          <w:p w:rsidR="00EF05E9" w:rsidRDefault="00EF05E9" w:rsidP="00EF05E9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requiere proveedor</w:t>
            </w:r>
          </w:p>
          <w:p w:rsidR="00A564EB" w:rsidRPr="00EF05E9" w:rsidRDefault="00EF05E9" w:rsidP="00A564EB">
            <w:pPr>
              <w:pStyle w:val="Prrafodelista"/>
              <w:numPr>
                <w:ilvl w:val="0"/>
                <w:numId w:val="14"/>
              </w:numPr>
              <w:ind w:left="285" w:hanging="283"/>
              <w:jc w:val="both"/>
              <w:rPr>
                <w:sz w:val="20"/>
                <w:szCs w:val="20"/>
              </w:rPr>
            </w:pPr>
            <w:r w:rsidRPr="00EF05E9">
              <w:rPr>
                <w:sz w:val="20"/>
                <w:szCs w:val="20"/>
              </w:rPr>
              <w:t xml:space="preserve">Líder funcional </w:t>
            </w:r>
            <w:r w:rsidR="00A564EB">
              <w:rPr>
                <w:sz w:val="20"/>
                <w:szCs w:val="20"/>
              </w:rPr>
              <w:t xml:space="preserve">Director de área, </w:t>
            </w:r>
            <w:r w:rsidR="00E41C4D">
              <w:rPr>
                <w:sz w:val="20"/>
                <w:szCs w:val="20"/>
              </w:rPr>
              <w:t>Profesores HC</w:t>
            </w:r>
            <w:r w:rsidR="00A564EB">
              <w:rPr>
                <w:sz w:val="20"/>
                <w:szCs w:val="20"/>
              </w:rPr>
              <w:t xml:space="preserve"> o</w:t>
            </w:r>
            <w:r w:rsidR="00E41C4D">
              <w:rPr>
                <w:sz w:val="20"/>
                <w:szCs w:val="20"/>
              </w:rPr>
              <w:t xml:space="preserve"> investigadores</w:t>
            </w:r>
          </w:p>
        </w:tc>
      </w:tr>
    </w:tbl>
    <w:p w:rsidR="00671FA0" w:rsidRDefault="00671FA0" w:rsidP="00FB5313">
      <w:pPr>
        <w:jc w:val="both"/>
        <w:rPr>
          <w:sz w:val="20"/>
          <w:szCs w:val="20"/>
        </w:rPr>
      </w:pPr>
    </w:p>
    <w:p w:rsidR="00E36831" w:rsidRDefault="00E36831" w:rsidP="00FB5313">
      <w:pPr>
        <w:jc w:val="both"/>
        <w:rPr>
          <w:sz w:val="20"/>
          <w:szCs w:val="20"/>
        </w:rPr>
      </w:pPr>
      <w:r>
        <w:rPr>
          <w:sz w:val="20"/>
          <w:szCs w:val="20"/>
        </w:rPr>
        <w:t>Notas</w:t>
      </w:r>
    </w:p>
    <w:p w:rsidR="00E36831" w:rsidRDefault="00E36831" w:rsidP="00E36831">
      <w:pPr>
        <w:pStyle w:val="Prrafodelista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E36831">
        <w:rPr>
          <w:sz w:val="20"/>
          <w:szCs w:val="20"/>
        </w:rPr>
        <w:t xml:space="preserve">Para efectos prácticos, prima la interrelación en la determinación del tipo de proyecto. </w:t>
      </w:r>
    </w:p>
    <w:p w:rsidR="00E36831" w:rsidRDefault="00E36831" w:rsidP="00E36831">
      <w:pPr>
        <w:pStyle w:val="Prrafodelista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36831">
        <w:rPr>
          <w:sz w:val="20"/>
          <w:szCs w:val="20"/>
        </w:rPr>
        <w:t>e acuerdo al criterio del coordinador del proyecto, y previa negociación con la PMO, puede determinarse el tipo de proyecto con otras condiciones no establecidas en este documento</w:t>
      </w:r>
      <w:r>
        <w:rPr>
          <w:sz w:val="20"/>
          <w:szCs w:val="20"/>
        </w:rPr>
        <w:t>.</w:t>
      </w:r>
    </w:p>
    <w:p w:rsidR="00E36831" w:rsidRDefault="00E36831" w:rsidP="00E36831">
      <w:pPr>
        <w:pStyle w:val="Prrafodelista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Debe documentarse como anexo a la documentación del proyecto, las condiciones particulares por las cuales se determino un tipo de proyecto bajo condiciones diferentes a las aquí expuestas.</w:t>
      </w:r>
    </w:p>
    <w:p w:rsidR="00E36831" w:rsidRPr="00E36831" w:rsidRDefault="00E36831" w:rsidP="00E36831">
      <w:pPr>
        <w:pStyle w:val="Prrafodelista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Debe también documentarse dichas condiciones en el documento de lecciones aprendidas GPS08.</w:t>
      </w:r>
    </w:p>
    <w:sectPr w:rsidR="00E36831" w:rsidRPr="00E36831" w:rsidSect="005F5ED8">
      <w:headerReference w:type="default" r:id="rId12"/>
      <w:footerReference w:type="default" r:id="rId13"/>
      <w:pgSz w:w="12240" w:h="15840"/>
      <w:pgMar w:top="1418" w:right="1325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67" w:rsidRDefault="00C90767" w:rsidP="00F37C09">
      <w:pPr>
        <w:pStyle w:val="Piedepgina"/>
      </w:pPr>
      <w:r>
        <w:separator/>
      </w:r>
    </w:p>
  </w:endnote>
  <w:endnote w:type="continuationSeparator" w:id="0">
    <w:p w:rsidR="00C90767" w:rsidRDefault="00C90767" w:rsidP="00F37C09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64" w:rsidRPr="00B004C0" w:rsidRDefault="006B7964" w:rsidP="005F5ED8">
    <w:pPr>
      <w:pStyle w:val="Piedepgina"/>
      <w:tabs>
        <w:tab w:val="clear" w:pos="8838"/>
      </w:tabs>
      <w:rPr>
        <w:sz w:val="16"/>
        <w:szCs w:val="14"/>
      </w:rPr>
    </w:pPr>
    <w:r w:rsidRPr="00B004C0">
      <w:rPr>
        <w:b/>
        <w:sz w:val="16"/>
        <w:szCs w:val="14"/>
      </w:rPr>
      <w:fldChar w:fldCharType="begin"/>
    </w:r>
    <w:r w:rsidRPr="00B004C0">
      <w:rPr>
        <w:b/>
        <w:sz w:val="16"/>
        <w:szCs w:val="14"/>
      </w:rPr>
      <w:instrText xml:space="preserve"> FILENAME </w:instrText>
    </w:r>
    <w:r w:rsidRPr="00B004C0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Guía de  adaptación.docx</w:t>
    </w:r>
    <w:r w:rsidRPr="00B004C0">
      <w:rPr>
        <w:b/>
        <w:sz w:val="16"/>
        <w:szCs w:val="14"/>
      </w:rPr>
      <w:fldChar w:fldCharType="end"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  <w:t xml:space="preserve">   </w:t>
    </w:r>
    <w:r w:rsidRPr="00B004C0">
      <w:rPr>
        <w:b/>
        <w:sz w:val="16"/>
        <w:szCs w:val="14"/>
      </w:rPr>
      <w:t xml:space="preserve">Página </w:t>
    </w:r>
    <w:r w:rsidRPr="00B004C0">
      <w:rPr>
        <w:b/>
        <w:sz w:val="16"/>
        <w:szCs w:val="14"/>
      </w:rPr>
      <w:fldChar w:fldCharType="begin"/>
    </w:r>
    <w:r w:rsidRPr="00B004C0">
      <w:rPr>
        <w:b/>
        <w:sz w:val="16"/>
        <w:szCs w:val="14"/>
      </w:rPr>
      <w:instrText xml:space="preserve"> PAGE </w:instrText>
    </w:r>
    <w:r w:rsidRPr="00B004C0">
      <w:rPr>
        <w:b/>
        <w:sz w:val="16"/>
        <w:szCs w:val="14"/>
      </w:rPr>
      <w:fldChar w:fldCharType="separate"/>
    </w:r>
    <w:r w:rsidR="006B13D2">
      <w:rPr>
        <w:b/>
        <w:noProof/>
        <w:sz w:val="16"/>
        <w:szCs w:val="14"/>
      </w:rPr>
      <w:t>1</w:t>
    </w:r>
    <w:r w:rsidRPr="00B004C0">
      <w:rPr>
        <w:b/>
        <w:sz w:val="16"/>
        <w:szCs w:val="14"/>
      </w:rPr>
      <w:fldChar w:fldCharType="end"/>
    </w:r>
    <w:r w:rsidRPr="00B004C0">
      <w:rPr>
        <w:b/>
        <w:sz w:val="16"/>
        <w:szCs w:val="14"/>
      </w:rPr>
      <w:t xml:space="preserve"> de </w:t>
    </w:r>
    <w:r w:rsidRPr="00B004C0">
      <w:rPr>
        <w:b/>
        <w:sz w:val="16"/>
        <w:szCs w:val="14"/>
      </w:rPr>
      <w:fldChar w:fldCharType="begin"/>
    </w:r>
    <w:r w:rsidRPr="00B004C0">
      <w:rPr>
        <w:b/>
        <w:sz w:val="16"/>
        <w:szCs w:val="14"/>
      </w:rPr>
      <w:instrText xml:space="preserve"> SECTIONPAGES  </w:instrText>
    </w:r>
    <w:r w:rsidRPr="00B004C0">
      <w:rPr>
        <w:b/>
        <w:sz w:val="16"/>
        <w:szCs w:val="14"/>
      </w:rPr>
      <w:fldChar w:fldCharType="separate"/>
    </w:r>
    <w:r w:rsidR="006B13D2">
      <w:rPr>
        <w:b/>
        <w:noProof/>
        <w:sz w:val="16"/>
        <w:szCs w:val="14"/>
      </w:rPr>
      <w:t>3</w:t>
    </w:r>
    <w:r w:rsidRPr="00B004C0">
      <w:rPr>
        <w:b/>
        <w:sz w:val="16"/>
        <w:szCs w:val="14"/>
      </w:rPr>
      <w:fldChar w:fldCharType="end"/>
    </w:r>
    <w:r w:rsidRPr="00B004C0">
      <w:rPr>
        <w:sz w:val="16"/>
        <w:szCs w:val="14"/>
      </w:rPr>
      <w:t xml:space="preserve">   </w:t>
    </w:r>
    <w:r w:rsidRPr="00B004C0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67" w:rsidRDefault="00C90767" w:rsidP="00F37C09">
      <w:pPr>
        <w:pStyle w:val="Piedepgina"/>
      </w:pPr>
      <w:r>
        <w:separator/>
      </w:r>
    </w:p>
  </w:footnote>
  <w:footnote w:type="continuationSeparator" w:id="0">
    <w:p w:rsidR="00C90767" w:rsidRDefault="00C90767" w:rsidP="00F37C09">
      <w:pPr>
        <w:pStyle w:val="Piedepgina"/>
      </w:pPr>
      <w:r>
        <w:continuationSeparator/>
      </w:r>
    </w:p>
  </w:footnote>
  <w:footnote w:id="1">
    <w:p w:rsidR="006B7964" w:rsidRPr="00AA3B18" w:rsidRDefault="006B796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AA3B18">
        <w:rPr>
          <w:rFonts w:cs="Arial"/>
          <w:sz w:val="16"/>
          <w:szCs w:val="18"/>
          <w:lang w:val="es-CO"/>
        </w:rPr>
        <w:t>Tailoring</w:t>
      </w:r>
      <w:proofErr w:type="spellEnd"/>
      <w:r w:rsidRPr="00AA3B18">
        <w:rPr>
          <w:rFonts w:cs="Arial"/>
          <w:sz w:val="16"/>
          <w:szCs w:val="18"/>
          <w:lang w:val="es-CO"/>
        </w:rPr>
        <w:t xml:space="preserve"> </w:t>
      </w:r>
      <w:proofErr w:type="spellStart"/>
      <w:r w:rsidRPr="00AA3B18">
        <w:rPr>
          <w:rFonts w:cs="Arial"/>
          <w:sz w:val="16"/>
          <w:szCs w:val="18"/>
          <w:lang w:val="es-CO"/>
        </w:rPr>
        <w:t>Guidelines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0" w:type="dxa"/>
      <w:jc w:val="center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2"/>
      <w:gridCol w:w="4607"/>
      <w:gridCol w:w="2551"/>
    </w:tblGrid>
    <w:tr w:rsidR="00E12497" w:rsidRPr="00A5153D" w:rsidTr="004F711C">
      <w:trPr>
        <w:trHeight w:val="561"/>
        <w:jc w:val="center"/>
      </w:trPr>
      <w:tc>
        <w:tcPr>
          <w:tcW w:w="2623" w:type="dxa"/>
          <w:vMerge w:val="restart"/>
          <w:vAlign w:val="center"/>
          <w:hideMark/>
        </w:tcPr>
        <w:p w:rsidR="00E12497" w:rsidRPr="00A5153D" w:rsidRDefault="00E12497" w:rsidP="004F711C">
          <w:pPr>
            <w:tabs>
              <w:tab w:val="center" w:pos="-4785"/>
            </w:tabs>
            <w:spacing w:before="120" w:after="120"/>
            <w:jc w:val="center"/>
            <w:rPr>
              <w:rFonts w:cs="Calibri"/>
              <w:b/>
              <w:sz w:val="14"/>
              <w:szCs w:val="18"/>
            </w:rPr>
          </w:pPr>
          <w:r>
            <w:rPr>
              <w:b/>
              <w:noProof/>
              <w:sz w:val="14"/>
              <w:lang w:val="es-CO" w:eastAsia="es-CO"/>
            </w:rPr>
            <w:drawing>
              <wp:inline distT="0" distB="0" distL="0" distR="0">
                <wp:extent cx="1352550" cy="419100"/>
                <wp:effectExtent l="0" t="0" r="0" b="0"/>
                <wp:docPr id="2" name="Imagen 2" descr="Descripción: logo_ic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_ic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14"/>
              <w:lang w:val="es-CO" w:eastAsia="es-CO"/>
            </w:rPr>
            <w:t xml:space="preserve"> </w:t>
          </w:r>
          <w:r w:rsidRPr="00A5153D">
            <w:rPr>
              <w:rFonts w:cs="Calibri"/>
              <w:b/>
              <w:sz w:val="14"/>
              <w:szCs w:val="18"/>
            </w:rPr>
            <w:t>Procesos Institucionales</w:t>
          </w:r>
        </w:p>
      </w:tc>
      <w:tc>
        <w:tcPr>
          <w:tcW w:w="4607" w:type="dxa"/>
          <w:vAlign w:val="bottom"/>
          <w:hideMark/>
        </w:tcPr>
        <w:p w:rsidR="00E12497" w:rsidRPr="00A5153D" w:rsidRDefault="00E12497" w:rsidP="004F711C">
          <w:pPr>
            <w:tabs>
              <w:tab w:val="center" w:pos="-4785"/>
            </w:tabs>
            <w:ind w:right="-113"/>
            <w:jc w:val="center"/>
            <w:rPr>
              <w:rFonts w:cs="Calibri"/>
              <w:b/>
              <w:sz w:val="18"/>
            </w:rPr>
          </w:pPr>
          <w:r w:rsidRPr="00A5153D">
            <w:rPr>
              <w:rFonts w:cs="Calibri"/>
              <w:b/>
              <w:sz w:val="18"/>
            </w:rPr>
            <w:t>Gerencia de proyectos</w:t>
          </w:r>
        </w:p>
      </w:tc>
      <w:tc>
        <w:tcPr>
          <w:tcW w:w="2551" w:type="dxa"/>
          <w:vAlign w:val="bottom"/>
          <w:hideMark/>
        </w:tcPr>
        <w:p w:rsidR="00E12497" w:rsidRPr="00A5153D" w:rsidRDefault="00E12497" w:rsidP="00E12497">
          <w:pPr>
            <w:tabs>
              <w:tab w:val="center" w:pos="-4785"/>
            </w:tabs>
            <w:rPr>
              <w:rFonts w:cs="Calibri"/>
              <w:b/>
              <w:sz w:val="18"/>
            </w:rPr>
          </w:pPr>
          <w:r w:rsidRPr="00A5153D">
            <w:rPr>
              <w:rFonts w:cs="Calibri"/>
              <w:b/>
              <w:sz w:val="18"/>
            </w:rPr>
            <w:t>Código : ADGP-</w:t>
          </w:r>
          <w:r>
            <w:rPr>
              <w:rFonts w:cs="Calibri"/>
              <w:b/>
              <w:sz w:val="18"/>
            </w:rPr>
            <w:t>FR15</w:t>
          </w:r>
        </w:p>
      </w:tc>
    </w:tr>
    <w:tr w:rsidR="00E12497" w:rsidRPr="00A5153D" w:rsidTr="004F711C">
      <w:trPr>
        <w:trHeight w:val="413"/>
        <w:jc w:val="center"/>
      </w:trPr>
      <w:tc>
        <w:tcPr>
          <w:tcW w:w="2623" w:type="dxa"/>
          <w:vMerge/>
          <w:vAlign w:val="center"/>
          <w:hideMark/>
        </w:tcPr>
        <w:p w:rsidR="00E12497" w:rsidRPr="00A5153D" w:rsidRDefault="00E12497" w:rsidP="004F711C">
          <w:pPr>
            <w:rPr>
              <w:rFonts w:cs="Calibri"/>
              <w:b/>
              <w:sz w:val="14"/>
              <w:szCs w:val="18"/>
            </w:rPr>
          </w:pPr>
        </w:p>
      </w:tc>
      <w:tc>
        <w:tcPr>
          <w:tcW w:w="4607" w:type="dxa"/>
          <w:hideMark/>
        </w:tcPr>
        <w:p w:rsidR="00E12497" w:rsidRPr="00A5153D" w:rsidRDefault="006B13D2" w:rsidP="004F711C">
          <w:pPr>
            <w:tabs>
              <w:tab w:val="center" w:pos="-4785"/>
            </w:tabs>
            <w:spacing w:before="120" w:after="120"/>
            <w:ind w:right="-113"/>
            <w:jc w:val="center"/>
            <w:rPr>
              <w:rFonts w:cs="Calibri"/>
              <w:b/>
              <w:sz w:val="18"/>
            </w:rPr>
          </w:pPr>
          <w:r>
            <w:rPr>
              <w:rFonts w:cs="Calibri"/>
              <w:b/>
              <w:sz w:val="18"/>
            </w:rPr>
            <w:t>Guía de adaptación</w:t>
          </w:r>
        </w:p>
      </w:tc>
      <w:tc>
        <w:tcPr>
          <w:tcW w:w="2551" w:type="dxa"/>
          <w:hideMark/>
        </w:tcPr>
        <w:p w:rsidR="00E12497" w:rsidRPr="00A5153D" w:rsidRDefault="00E12497" w:rsidP="004F711C">
          <w:pPr>
            <w:tabs>
              <w:tab w:val="center" w:pos="-4785"/>
            </w:tabs>
            <w:spacing w:before="120" w:after="120"/>
            <w:rPr>
              <w:rFonts w:cs="Calibri"/>
              <w:b/>
              <w:sz w:val="18"/>
            </w:rPr>
          </w:pPr>
          <w:r>
            <w:rPr>
              <w:rFonts w:cs="Calibri"/>
              <w:b/>
              <w:sz w:val="18"/>
            </w:rPr>
            <w:t>Versión: 2.0</w:t>
          </w:r>
        </w:p>
      </w:tc>
    </w:tr>
  </w:tbl>
  <w:p w:rsidR="006B7964" w:rsidRPr="00873214" w:rsidRDefault="006B7964" w:rsidP="0087321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303"/>
    <w:multiLevelType w:val="hybridMultilevel"/>
    <w:tmpl w:val="47D8B2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033C"/>
    <w:multiLevelType w:val="hybridMultilevel"/>
    <w:tmpl w:val="40C88318"/>
    <w:lvl w:ilvl="0" w:tplc="2B9A1AFA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A07A0"/>
    <w:multiLevelType w:val="hybridMultilevel"/>
    <w:tmpl w:val="052A8FE0"/>
    <w:lvl w:ilvl="0" w:tplc="26A041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96488"/>
    <w:multiLevelType w:val="hybridMultilevel"/>
    <w:tmpl w:val="47D8B2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4406D"/>
    <w:multiLevelType w:val="hybridMultilevel"/>
    <w:tmpl w:val="A64067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A679D"/>
    <w:multiLevelType w:val="multilevel"/>
    <w:tmpl w:val="90245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D051C7C"/>
    <w:multiLevelType w:val="multilevel"/>
    <w:tmpl w:val="5AD4F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D867DC3"/>
    <w:multiLevelType w:val="hybridMultilevel"/>
    <w:tmpl w:val="61C8AA08"/>
    <w:lvl w:ilvl="0" w:tplc="240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06C9F"/>
    <w:multiLevelType w:val="multilevel"/>
    <w:tmpl w:val="BA201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F1929BD"/>
    <w:multiLevelType w:val="multilevel"/>
    <w:tmpl w:val="E60C01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0">
    <w:nsid w:val="570F1E24"/>
    <w:multiLevelType w:val="hybridMultilevel"/>
    <w:tmpl w:val="47D8B2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62605"/>
    <w:multiLevelType w:val="hybridMultilevel"/>
    <w:tmpl w:val="27C647A2"/>
    <w:lvl w:ilvl="0" w:tplc="27D0998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65A5E"/>
    <w:multiLevelType w:val="hybridMultilevel"/>
    <w:tmpl w:val="25E8931C"/>
    <w:lvl w:ilvl="0" w:tplc="9DEE41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751C8"/>
    <w:multiLevelType w:val="hybridMultilevel"/>
    <w:tmpl w:val="7F929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55A01"/>
    <w:multiLevelType w:val="hybridMultilevel"/>
    <w:tmpl w:val="0792EBEE"/>
    <w:lvl w:ilvl="0" w:tplc="64741E5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29"/>
    <w:rsid w:val="00010FB7"/>
    <w:rsid w:val="00016747"/>
    <w:rsid w:val="00027B33"/>
    <w:rsid w:val="00037D22"/>
    <w:rsid w:val="000472E0"/>
    <w:rsid w:val="00052E00"/>
    <w:rsid w:val="00053990"/>
    <w:rsid w:val="00065DF7"/>
    <w:rsid w:val="00073B49"/>
    <w:rsid w:val="000914CC"/>
    <w:rsid w:val="000B177B"/>
    <w:rsid w:val="00113C97"/>
    <w:rsid w:val="00120EB0"/>
    <w:rsid w:val="00194C24"/>
    <w:rsid w:val="0019626B"/>
    <w:rsid w:val="001A3081"/>
    <w:rsid w:val="001A4E02"/>
    <w:rsid w:val="001C6AE4"/>
    <w:rsid w:val="001D549F"/>
    <w:rsid w:val="002256E8"/>
    <w:rsid w:val="0023284B"/>
    <w:rsid w:val="002624B1"/>
    <w:rsid w:val="00264363"/>
    <w:rsid w:val="00264D76"/>
    <w:rsid w:val="0027787D"/>
    <w:rsid w:val="00284C7C"/>
    <w:rsid w:val="00291287"/>
    <w:rsid w:val="00294D5B"/>
    <w:rsid w:val="002A7B1F"/>
    <w:rsid w:val="002B0767"/>
    <w:rsid w:val="002B0899"/>
    <w:rsid w:val="002B3BC5"/>
    <w:rsid w:val="002D04C7"/>
    <w:rsid w:val="002F4BE0"/>
    <w:rsid w:val="002F4D57"/>
    <w:rsid w:val="00301E3F"/>
    <w:rsid w:val="00311F83"/>
    <w:rsid w:val="00315A29"/>
    <w:rsid w:val="00315BF7"/>
    <w:rsid w:val="00317853"/>
    <w:rsid w:val="00322409"/>
    <w:rsid w:val="0032790E"/>
    <w:rsid w:val="0035317E"/>
    <w:rsid w:val="00381C23"/>
    <w:rsid w:val="003C5991"/>
    <w:rsid w:val="003C6268"/>
    <w:rsid w:val="003F2451"/>
    <w:rsid w:val="003F48D4"/>
    <w:rsid w:val="004134F2"/>
    <w:rsid w:val="00414A90"/>
    <w:rsid w:val="00423B16"/>
    <w:rsid w:val="00424887"/>
    <w:rsid w:val="00431918"/>
    <w:rsid w:val="00437D7C"/>
    <w:rsid w:val="004437A1"/>
    <w:rsid w:val="00443B3D"/>
    <w:rsid w:val="004519AF"/>
    <w:rsid w:val="00457873"/>
    <w:rsid w:val="00464AD7"/>
    <w:rsid w:val="0049376D"/>
    <w:rsid w:val="004A5293"/>
    <w:rsid w:val="004A79AA"/>
    <w:rsid w:val="004C42AE"/>
    <w:rsid w:val="004D2B0B"/>
    <w:rsid w:val="004E7EBA"/>
    <w:rsid w:val="00500231"/>
    <w:rsid w:val="00513E3D"/>
    <w:rsid w:val="00537A62"/>
    <w:rsid w:val="005509F9"/>
    <w:rsid w:val="00577B45"/>
    <w:rsid w:val="005A7FBD"/>
    <w:rsid w:val="005B0128"/>
    <w:rsid w:val="005E1825"/>
    <w:rsid w:val="005F5ED8"/>
    <w:rsid w:val="0060315C"/>
    <w:rsid w:val="0060604B"/>
    <w:rsid w:val="006346B5"/>
    <w:rsid w:val="006374C9"/>
    <w:rsid w:val="006412F2"/>
    <w:rsid w:val="0064443A"/>
    <w:rsid w:val="00660721"/>
    <w:rsid w:val="00671FA0"/>
    <w:rsid w:val="00684AB9"/>
    <w:rsid w:val="00686B19"/>
    <w:rsid w:val="006A70C7"/>
    <w:rsid w:val="006B0C6C"/>
    <w:rsid w:val="006B13D2"/>
    <w:rsid w:val="006B7964"/>
    <w:rsid w:val="006C1F22"/>
    <w:rsid w:val="006E0671"/>
    <w:rsid w:val="00701683"/>
    <w:rsid w:val="00735F97"/>
    <w:rsid w:val="00742E8F"/>
    <w:rsid w:val="00746C28"/>
    <w:rsid w:val="00755000"/>
    <w:rsid w:val="00763150"/>
    <w:rsid w:val="007635D1"/>
    <w:rsid w:val="00770902"/>
    <w:rsid w:val="00774A75"/>
    <w:rsid w:val="00775DDA"/>
    <w:rsid w:val="00776DC7"/>
    <w:rsid w:val="00792668"/>
    <w:rsid w:val="00793043"/>
    <w:rsid w:val="007C139F"/>
    <w:rsid w:val="007D2C18"/>
    <w:rsid w:val="007E4A55"/>
    <w:rsid w:val="007E7C61"/>
    <w:rsid w:val="007F5BCD"/>
    <w:rsid w:val="00814DD6"/>
    <w:rsid w:val="00850E38"/>
    <w:rsid w:val="00855920"/>
    <w:rsid w:val="00857B51"/>
    <w:rsid w:val="00860847"/>
    <w:rsid w:val="00870ACC"/>
    <w:rsid w:val="00873214"/>
    <w:rsid w:val="00874B95"/>
    <w:rsid w:val="00875670"/>
    <w:rsid w:val="008B0090"/>
    <w:rsid w:val="008B2B11"/>
    <w:rsid w:val="008C6089"/>
    <w:rsid w:val="008D0A76"/>
    <w:rsid w:val="008D1EA3"/>
    <w:rsid w:val="008F71CA"/>
    <w:rsid w:val="009256B1"/>
    <w:rsid w:val="00932825"/>
    <w:rsid w:val="009426BA"/>
    <w:rsid w:val="009730CE"/>
    <w:rsid w:val="00994C18"/>
    <w:rsid w:val="00994E3B"/>
    <w:rsid w:val="009A1EA9"/>
    <w:rsid w:val="009A556C"/>
    <w:rsid w:val="009B442B"/>
    <w:rsid w:val="009C7405"/>
    <w:rsid w:val="009E1916"/>
    <w:rsid w:val="009E3ED0"/>
    <w:rsid w:val="00A03ACD"/>
    <w:rsid w:val="00A044A4"/>
    <w:rsid w:val="00A12AB6"/>
    <w:rsid w:val="00A14267"/>
    <w:rsid w:val="00A219C8"/>
    <w:rsid w:val="00A31066"/>
    <w:rsid w:val="00A564EB"/>
    <w:rsid w:val="00AA3B18"/>
    <w:rsid w:val="00AC5AC1"/>
    <w:rsid w:val="00AE07C9"/>
    <w:rsid w:val="00AE4D72"/>
    <w:rsid w:val="00AE540D"/>
    <w:rsid w:val="00AF59E6"/>
    <w:rsid w:val="00B004C0"/>
    <w:rsid w:val="00B0299E"/>
    <w:rsid w:val="00B10D54"/>
    <w:rsid w:val="00B1356F"/>
    <w:rsid w:val="00B1740D"/>
    <w:rsid w:val="00B33E1E"/>
    <w:rsid w:val="00B91550"/>
    <w:rsid w:val="00B92022"/>
    <w:rsid w:val="00BA2850"/>
    <w:rsid w:val="00BB0890"/>
    <w:rsid w:val="00BC2D79"/>
    <w:rsid w:val="00BD1521"/>
    <w:rsid w:val="00BD6059"/>
    <w:rsid w:val="00BD75D4"/>
    <w:rsid w:val="00BE16C7"/>
    <w:rsid w:val="00BE48DB"/>
    <w:rsid w:val="00C011D1"/>
    <w:rsid w:val="00C1210A"/>
    <w:rsid w:val="00C257C2"/>
    <w:rsid w:val="00C32FFC"/>
    <w:rsid w:val="00C476AE"/>
    <w:rsid w:val="00C90767"/>
    <w:rsid w:val="00CA49FC"/>
    <w:rsid w:val="00CC30A6"/>
    <w:rsid w:val="00CF14EE"/>
    <w:rsid w:val="00D038CB"/>
    <w:rsid w:val="00D051A6"/>
    <w:rsid w:val="00D17B1B"/>
    <w:rsid w:val="00D20572"/>
    <w:rsid w:val="00D33DDC"/>
    <w:rsid w:val="00D57B93"/>
    <w:rsid w:val="00D72ADA"/>
    <w:rsid w:val="00D90011"/>
    <w:rsid w:val="00D91A8E"/>
    <w:rsid w:val="00D91DFA"/>
    <w:rsid w:val="00DA0527"/>
    <w:rsid w:val="00DD051C"/>
    <w:rsid w:val="00DD46D6"/>
    <w:rsid w:val="00E02E00"/>
    <w:rsid w:val="00E1201A"/>
    <w:rsid w:val="00E12497"/>
    <w:rsid w:val="00E22EAA"/>
    <w:rsid w:val="00E36831"/>
    <w:rsid w:val="00E4007F"/>
    <w:rsid w:val="00E41C4D"/>
    <w:rsid w:val="00E63CE7"/>
    <w:rsid w:val="00E71CBB"/>
    <w:rsid w:val="00E944C1"/>
    <w:rsid w:val="00EA73CB"/>
    <w:rsid w:val="00EE63FB"/>
    <w:rsid w:val="00EF05E9"/>
    <w:rsid w:val="00F11E3E"/>
    <w:rsid w:val="00F337FF"/>
    <w:rsid w:val="00F37C09"/>
    <w:rsid w:val="00F55F03"/>
    <w:rsid w:val="00F70CF3"/>
    <w:rsid w:val="00F86DE4"/>
    <w:rsid w:val="00FA6050"/>
    <w:rsid w:val="00FB0B37"/>
    <w:rsid w:val="00FB2598"/>
    <w:rsid w:val="00FB5313"/>
    <w:rsid w:val="00FD0825"/>
    <w:rsid w:val="00FD730F"/>
    <w:rsid w:val="00FE0359"/>
    <w:rsid w:val="00FE3A0F"/>
    <w:rsid w:val="00FF0E7E"/>
    <w:rsid w:val="00FF2232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A29"/>
    <w:rPr>
      <w:rFonts w:ascii="Verdana" w:hAnsi="Verdana"/>
      <w:sz w:val="24"/>
      <w:szCs w:val="24"/>
      <w:lang w:eastAsia="es-MX"/>
    </w:rPr>
  </w:style>
  <w:style w:type="paragraph" w:styleId="Ttulo1">
    <w:name w:val="heading 1"/>
    <w:basedOn w:val="Normal"/>
    <w:next w:val="Normal"/>
    <w:qFormat/>
    <w:rsid w:val="00315A29"/>
    <w:pPr>
      <w:keepNext/>
      <w:spacing w:before="240" w:after="240"/>
      <w:outlineLvl w:val="0"/>
    </w:pPr>
    <w:rPr>
      <w:rFonts w:ascii="Times" w:hAnsi="Times"/>
      <w:b/>
      <w:kern w:val="28"/>
      <w:sz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15A2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15A29"/>
    <w:pPr>
      <w:tabs>
        <w:tab w:val="center" w:pos="4419"/>
        <w:tab w:val="right" w:pos="8838"/>
      </w:tabs>
    </w:pPr>
  </w:style>
  <w:style w:type="paragraph" w:customStyle="1" w:styleId="tableleft">
    <w:name w:val="table_left"/>
    <w:basedOn w:val="Normal"/>
    <w:rsid w:val="00315A29"/>
    <w:pPr>
      <w:spacing w:before="20" w:after="20" w:line="220" w:lineRule="exact"/>
    </w:pPr>
    <w:rPr>
      <w:rFonts w:ascii="Times" w:hAnsi="Times"/>
      <w:b/>
      <w:sz w:val="22"/>
      <w:lang w:val="en-US"/>
    </w:rPr>
  </w:style>
  <w:style w:type="paragraph" w:customStyle="1" w:styleId="tableright">
    <w:name w:val="table_right"/>
    <w:basedOn w:val="tableleft"/>
    <w:rsid w:val="00315A29"/>
    <w:rPr>
      <w:b w:val="0"/>
    </w:rPr>
  </w:style>
  <w:style w:type="paragraph" w:customStyle="1" w:styleId="line">
    <w:name w:val="line"/>
    <w:basedOn w:val="tableleft"/>
    <w:rsid w:val="00315A29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315A29"/>
    <w:pPr>
      <w:spacing w:before="40" w:after="40" w:line="220" w:lineRule="exact"/>
    </w:pPr>
    <w:rPr>
      <w:rFonts w:ascii="Times" w:hAnsi="Times"/>
      <w:b/>
      <w:sz w:val="22"/>
      <w:lang w:val="en-US"/>
    </w:rPr>
  </w:style>
  <w:style w:type="paragraph" w:customStyle="1" w:styleId="TaskMiddle">
    <w:name w:val="TaskMiddle"/>
    <w:basedOn w:val="TaskLeft"/>
    <w:rsid w:val="00315A29"/>
    <w:rPr>
      <w:b w:val="0"/>
    </w:rPr>
  </w:style>
  <w:style w:type="paragraph" w:customStyle="1" w:styleId="TaskRight">
    <w:name w:val="TaskRight"/>
    <w:basedOn w:val="TaskLeft"/>
    <w:rsid w:val="00315A29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315A29"/>
    <w:pPr>
      <w:keepNext/>
      <w:keepLines/>
      <w:spacing w:before="20" w:after="20" w:line="240" w:lineRule="exact"/>
    </w:pPr>
    <w:rPr>
      <w:rFonts w:ascii="Times" w:hAnsi="Times"/>
      <w:b/>
      <w:lang w:val="en-US"/>
    </w:rPr>
  </w:style>
  <w:style w:type="paragraph" w:customStyle="1" w:styleId="separator">
    <w:name w:val="separator"/>
    <w:basedOn w:val="Normal"/>
    <w:rsid w:val="00315A29"/>
    <w:pPr>
      <w:spacing w:line="200" w:lineRule="exact"/>
    </w:pPr>
    <w:rPr>
      <w:rFonts w:ascii="Times" w:hAnsi="Times"/>
      <w:sz w:val="20"/>
      <w:lang w:val="en-US"/>
    </w:rPr>
  </w:style>
  <w:style w:type="paragraph" w:styleId="TDC1">
    <w:name w:val="toc 1"/>
    <w:basedOn w:val="Normal"/>
    <w:next w:val="Normal"/>
    <w:semiHidden/>
    <w:rsid w:val="00315A29"/>
    <w:pPr>
      <w:tabs>
        <w:tab w:val="right" w:leader="dot" w:pos="9360"/>
      </w:tabs>
      <w:spacing w:line="220" w:lineRule="exact"/>
      <w:ind w:left="360" w:hanging="360"/>
    </w:pPr>
    <w:rPr>
      <w:rFonts w:ascii="Times" w:hAnsi="Times"/>
      <w:noProof/>
      <w:sz w:val="22"/>
      <w:lang w:val="en-US"/>
    </w:rPr>
  </w:style>
  <w:style w:type="paragraph" w:customStyle="1" w:styleId="TOCentry">
    <w:name w:val="TOCentry"/>
    <w:basedOn w:val="Ttulo"/>
    <w:rsid w:val="00315A29"/>
    <w:pPr>
      <w:spacing w:after="240" w:line="240" w:lineRule="atLeast"/>
      <w:jc w:val="left"/>
      <w:outlineLvl w:val="9"/>
    </w:pPr>
    <w:rPr>
      <w:rFonts w:ascii="Times New Roman" w:hAnsi="Times New Roman" w:cs="Times New Roman"/>
      <w:bCs w:val="0"/>
      <w:szCs w:val="20"/>
      <w:lang w:val="en-US"/>
    </w:rPr>
  </w:style>
  <w:style w:type="paragraph" w:styleId="Ttulo">
    <w:name w:val="Title"/>
    <w:basedOn w:val="Normal"/>
    <w:qFormat/>
    <w:rsid w:val="00315A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aconcuadrcula">
    <w:name w:val="Table Grid"/>
    <w:basedOn w:val="Tablanormal"/>
    <w:rsid w:val="00E63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72A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72ADA"/>
    <w:rPr>
      <w:rFonts w:ascii="Tahoma" w:hAnsi="Tahoma" w:cs="Tahoma"/>
      <w:sz w:val="16"/>
      <w:szCs w:val="16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D91A8E"/>
    <w:rPr>
      <w:color w:val="808080"/>
    </w:rPr>
  </w:style>
  <w:style w:type="paragraph" w:styleId="Prrafodelista">
    <w:name w:val="List Paragraph"/>
    <w:basedOn w:val="Normal"/>
    <w:uiPriority w:val="34"/>
    <w:qFormat/>
    <w:rsid w:val="009E3ED0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994E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94E3B"/>
    <w:rPr>
      <w:rFonts w:ascii="Verdana" w:hAnsi="Verdana"/>
      <w:lang w:eastAsia="es-MX"/>
    </w:rPr>
  </w:style>
  <w:style w:type="character" w:styleId="Refdenotaalpie">
    <w:name w:val="footnote reference"/>
    <w:basedOn w:val="Fuentedeprrafopredeter"/>
    <w:rsid w:val="00994E3B"/>
    <w:rPr>
      <w:vertAlign w:val="superscript"/>
    </w:rPr>
  </w:style>
  <w:style w:type="character" w:styleId="Refdecomentario">
    <w:name w:val="annotation reference"/>
    <w:basedOn w:val="Fuentedeprrafopredeter"/>
    <w:rsid w:val="00315B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5B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15BF7"/>
    <w:rPr>
      <w:rFonts w:ascii="Verdana" w:hAnsi="Verdana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15BF7"/>
    <w:rPr>
      <w:rFonts w:ascii="Verdana" w:hAnsi="Verdana"/>
      <w:b/>
      <w:bCs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29EAB8FA3A764EBC663A0CD636B7DC" ma:contentTypeVersion="2" ma:contentTypeDescription="Crear nuevo documento." ma:contentTypeScope="" ma:versionID="3194dadd88f1b8e601c4a6dafa5ab6e9">
  <xsd:schema xmlns:xsd="http://www.w3.org/2001/XMLSchema" xmlns:p="http://schemas.microsoft.com/office/2006/metadata/properties" xmlns:ns2="23aba2fe-b52f-44a8-a554-4b044382895e" targetNamespace="http://schemas.microsoft.com/office/2006/metadata/properties" ma:root="true" ma:fieldsID="723e42d68bdc42c95c2cb952c07024f0" ns2:_="">
    <xsd:import namespace="23aba2fe-b52f-44a8-a554-4b044382895e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C_x00f3_digo_x0020_G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3aba2fe-b52f-44a8-a554-4b044382895e" elementFormDefault="qualified">
    <xsd:import namespace="http://schemas.microsoft.com/office/2006/documentManagement/types"/>
    <xsd:element name="Codigo" ma:index="8" nillable="true" ma:displayName="Código" ma:default="" ma:internalName="Codigo">
      <xsd:simpleType>
        <xsd:restriction base="dms:Text">
          <xsd:maxLength value="255"/>
        </xsd:restriction>
      </xsd:simpleType>
    </xsd:element>
    <xsd:element name="C_x00f3_digo_x0020_GP" ma:index="9" nillable="true" ma:displayName="Código GP" ma:internalName="C_x00f3_digo_x0020_G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digo xmlns="23aba2fe-b52f-44a8-a554-4b044382895e">ADGP-FR15</Codigo>
    <C_x00f3_digo_x0020_GP xmlns="23aba2fe-b52f-44a8-a554-4b044382895e">GPS00</C_x00f3_digo_x0020_G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7A36-6375-43EC-97D6-199FB5EE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ba2fe-b52f-44a8-a554-4b04438289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5498241-1532-41C0-BBCC-69B19DF6652F}">
  <ds:schemaRefs>
    <ds:schemaRef ds:uri="http://schemas.microsoft.com/office/2006/metadata/properties"/>
    <ds:schemaRef ds:uri="23aba2fe-b52f-44a8-a554-4b044382895e"/>
  </ds:schemaRefs>
</ds:datastoreItem>
</file>

<file path=customXml/itemProps3.xml><?xml version="1.0" encoding="utf-8"?>
<ds:datastoreItem xmlns:ds="http://schemas.openxmlformats.org/officeDocument/2006/customXml" ds:itemID="{4DE2938B-DBA7-4B02-86D7-3B87F0182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24AC0-6138-4C9A-B115-244AB239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3</Pages>
  <Words>624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CONTROL DEL DOCUMENTO</vt:lpstr>
    </vt:vector>
  </TitlesOfParts>
  <Company>Universidad Icesi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CONTROL DEL DOCUMENTO</dc:title>
  <dc:creator>Robin Alberto Castro Gil</dc:creator>
  <cp:lastModifiedBy>1130588915</cp:lastModifiedBy>
  <cp:revision>80</cp:revision>
  <cp:lastPrinted>2010-07-27T19:51:00Z</cp:lastPrinted>
  <dcterms:created xsi:type="dcterms:W3CDTF">2009-06-04T20:16:00Z</dcterms:created>
  <dcterms:modified xsi:type="dcterms:W3CDTF">2012-01-31T21:19:00Z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0x010100CA29EAB8FA3A764EBC663A0CD636B7DC</vt:lpwstr>
  </property>
</Properties>
</file>